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F08" w:rsidRDefault="00FC5F08" w:rsidP="00FC5F08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Самостійна робота</w:t>
      </w:r>
    </w:p>
    <w:tbl>
      <w:tblPr>
        <w:tblStyle w:val="a4"/>
        <w:tblW w:w="0" w:type="auto"/>
        <w:tblInd w:w="0" w:type="dxa"/>
        <w:tblLook w:val="04A0"/>
      </w:tblPr>
      <w:tblGrid>
        <w:gridCol w:w="813"/>
        <w:gridCol w:w="7581"/>
        <w:gridCol w:w="1177"/>
      </w:tblGrid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Кількість годин</w:t>
            </w:r>
          </w:p>
        </w:tc>
      </w:tr>
      <w:tr w:rsidR="00FC5F08" w:rsidTr="00FC5F08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VI </w:t>
            </w:r>
            <w:r>
              <w:rPr>
                <w:color w:val="000000"/>
                <w:lang w:val="ru-RU"/>
              </w:rPr>
              <w:t>семестр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Ознайомлення зі сайтом </w:t>
            </w:r>
            <w:proofErr w:type="spellStart"/>
            <w:r>
              <w:rPr>
                <w:sz w:val="28"/>
                <w:szCs w:val="28"/>
              </w:rPr>
              <w:t>Держподаткової</w:t>
            </w:r>
            <w:proofErr w:type="spellEnd"/>
            <w:r>
              <w:rPr>
                <w:sz w:val="28"/>
                <w:szCs w:val="28"/>
              </w:rPr>
              <w:t xml:space="preserve"> служби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Ознайомлення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розділом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1. 2 </w:t>
            </w:r>
            <w:proofErr w:type="spellStart"/>
            <w:r>
              <w:rPr>
                <w:sz w:val="28"/>
                <w:szCs w:val="28"/>
                <w:lang w:val="ru-RU"/>
              </w:rPr>
              <w:t>Податкового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8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Ознайомлення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розділом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3 «</w:t>
            </w:r>
            <w:proofErr w:type="spellStart"/>
            <w:r>
              <w:rPr>
                <w:sz w:val="28"/>
                <w:szCs w:val="28"/>
                <w:lang w:val="ru-RU"/>
              </w:rPr>
              <w:t>Податок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прибуток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ru-RU"/>
              </w:rPr>
              <w:t>Податкового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Ознайомлення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розділом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4 «</w:t>
            </w:r>
            <w:proofErr w:type="spellStart"/>
            <w:r>
              <w:rPr>
                <w:sz w:val="28"/>
                <w:szCs w:val="28"/>
                <w:lang w:val="ru-RU"/>
              </w:rPr>
              <w:t>Податок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на доходи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фізичних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осіб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»  </w:t>
            </w:r>
            <w:proofErr w:type="spellStart"/>
            <w:r>
              <w:rPr>
                <w:sz w:val="28"/>
                <w:szCs w:val="28"/>
                <w:lang w:val="ru-RU"/>
              </w:rPr>
              <w:t>Податкового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Ознайомлення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розділом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5 «</w:t>
            </w:r>
            <w:proofErr w:type="spellStart"/>
            <w:r>
              <w:rPr>
                <w:sz w:val="28"/>
                <w:szCs w:val="28"/>
                <w:lang w:val="ru-RU"/>
              </w:rPr>
              <w:t>Податок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додану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вартість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ru-RU"/>
              </w:rPr>
              <w:t>Податкового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Ознайомлення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розділом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ХХ ПКУ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sz w:val="28"/>
                <w:szCs w:val="28"/>
                <w:lang w:val="ru-RU"/>
              </w:rPr>
              <w:t>ідрозділ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10 </w:t>
            </w:r>
            <w:proofErr w:type="spellStart"/>
            <w:r>
              <w:rPr>
                <w:sz w:val="28"/>
                <w:szCs w:val="28"/>
                <w:lang w:val="ru-RU"/>
              </w:rPr>
              <w:t>підпункт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1.4 «</w:t>
            </w:r>
            <w:proofErr w:type="spellStart"/>
            <w:r>
              <w:rPr>
                <w:sz w:val="28"/>
                <w:szCs w:val="28"/>
                <w:lang w:val="ru-RU"/>
              </w:rPr>
              <w:t>Нарахування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утримання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сплата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ru-RU"/>
              </w:rPr>
              <w:t>перерахування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) </w:t>
            </w:r>
            <w:proofErr w:type="spellStart"/>
            <w:r>
              <w:rPr>
                <w:sz w:val="28"/>
                <w:szCs w:val="28"/>
                <w:lang w:val="ru-RU"/>
              </w:rPr>
              <w:t>військового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збору</w:t>
            </w:r>
            <w:proofErr w:type="spellEnd"/>
            <w:r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Закон України «Про </w:t>
            </w:r>
            <w:proofErr w:type="spellStart"/>
            <w:r>
              <w:rPr>
                <w:sz w:val="28"/>
                <w:szCs w:val="28"/>
                <w:lang w:val="ru-RU"/>
              </w:rPr>
              <w:t>збі</w:t>
            </w: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облік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єдиного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внеску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загальнообовязкове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державне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соціальне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страхування» (</w:t>
            </w:r>
            <w:proofErr w:type="spellStart"/>
            <w:r>
              <w:rPr>
                <w:sz w:val="28"/>
                <w:szCs w:val="28"/>
                <w:lang w:val="ru-RU"/>
              </w:rPr>
              <w:t>із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змінами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) № 2464 – У1 </w:t>
            </w:r>
            <w:proofErr w:type="spellStart"/>
            <w:r>
              <w:rPr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08.07.2010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Ознайомлення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розділом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6 «</w:t>
            </w:r>
            <w:proofErr w:type="spellStart"/>
            <w:r>
              <w:rPr>
                <w:sz w:val="28"/>
                <w:szCs w:val="28"/>
                <w:lang w:val="ru-RU"/>
              </w:rPr>
              <w:t>Акцизний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податок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ru-RU"/>
              </w:rPr>
              <w:t>Податкового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7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Ознайомлення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розділом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Х1У «</w:t>
            </w:r>
            <w:proofErr w:type="spellStart"/>
            <w:r>
              <w:rPr>
                <w:sz w:val="28"/>
                <w:szCs w:val="28"/>
                <w:lang w:val="ru-RU"/>
              </w:rPr>
              <w:t>Спеціальні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податкові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режими</w:t>
            </w:r>
            <w:proofErr w:type="spellEnd"/>
            <w:r>
              <w:rPr>
                <w:sz w:val="28"/>
                <w:szCs w:val="28"/>
                <w:lang w:val="ru-RU"/>
              </w:rPr>
              <w:t>» Глава 1 «</w:t>
            </w:r>
            <w:proofErr w:type="spellStart"/>
            <w:r>
              <w:rPr>
                <w:sz w:val="28"/>
                <w:szCs w:val="28"/>
                <w:lang w:val="ru-RU"/>
              </w:rPr>
              <w:t>Спрощена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система </w:t>
            </w:r>
            <w:proofErr w:type="spellStart"/>
            <w:r>
              <w:rPr>
                <w:sz w:val="28"/>
                <w:szCs w:val="28"/>
                <w:lang w:val="ru-RU"/>
              </w:rPr>
              <w:t>оподаткування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обл</w:t>
            </w:r>
            <w:proofErr w:type="gramEnd"/>
            <w:r>
              <w:rPr>
                <w:sz w:val="28"/>
                <w:szCs w:val="28"/>
                <w:lang w:val="ru-RU"/>
              </w:rPr>
              <w:t>іку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звітності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ru-RU"/>
              </w:rPr>
              <w:t>Податкового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8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Ознайомлення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розділом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8 «</w:t>
            </w:r>
            <w:proofErr w:type="spellStart"/>
            <w:r>
              <w:rPr>
                <w:sz w:val="28"/>
                <w:szCs w:val="28"/>
                <w:lang w:val="ru-RU"/>
              </w:rPr>
              <w:t>Екологічний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податок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ru-RU"/>
              </w:rPr>
              <w:t>Податкового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9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Ознайомлення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розділом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9-17  </w:t>
            </w:r>
            <w:proofErr w:type="spellStart"/>
            <w:r>
              <w:rPr>
                <w:sz w:val="28"/>
                <w:szCs w:val="28"/>
                <w:lang w:val="ru-RU"/>
              </w:rPr>
              <w:t>Податкового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FC5F08" w:rsidTr="00FC5F08">
        <w:tc>
          <w:tcPr>
            <w:tcW w:w="8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Реформування Податкової системи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C5F08" w:rsidTr="00FC5F08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Разом по дисципліні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F08" w:rsidRDefault="00FC5F08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color w:val="000000"/>
                <w:sz w:val="28"/>
                <w:szCs w:val="28"/>
              </w:rPr>
              <w:t>45</w:t>
            </w:r>
          </w:p>
        </w:tc>
      </w:tr>
    </w:tbl>
    <w:p w:rsidR="006546AB" w:rsidRDefault="006546AB">
      <w:pPr>
        <w:rPr>
          <w:rFonts w:ascii="Arial" w:hAnsi="Arial" w:cs="Arial"/>
          <w:color w:val="000000"/>
        </w:rPr>
      </w:pPr>
    </w:p>
    <w:p w:rsidR="00FC5F08" w:rsidRDefault="00FC5F08">
      <w:pPr>
        <w:rPr>
          <w:sz w:val="28"/>
          <w:szCs w:val="28"/>
        </w:rPr>
      </w:pPr>
      <w:hyperlink r:id="rId5" w:history="1">
        <w:r w:rsidRPr="00FC5F08">
          <w:rPr>
            <w:rStyle w:val="a5"/>
            <w:sz w:val="28"/>
            <w:szCs w:val="28"/>
          </w:rPr>
          <w:t>https://tax.gov.ua/</w:t>
        </w:r>
      </w:hyperlink>
    </w:p>
    <w:p w:rsidR="00FC5F08" w:rsidRPr="00FC5F08" w:rsidRDefault="00FC5F08" w:rsidP="00FC5F08">
      <w:pPr>
        <w:pStyle w:val="1"/>
        <w:shd w:val="clear" w:color="auto" w:fill="FFFFFF"/>
        <w:spacing w:before="0" w:line="240" w:lineRule="atLeast"/>
        <w:textAlignment w:val="baseline"/>
        <w:rPr>
          <w:rFonts w:ascii="Times New Roman" w:hAnsi="Times New Roman" w:cs="Times New Roman"/>
          <w:bCs w:val="0"/>
          <w:color w:val="1D1D1B"/>
        </w:rPr>
      </w:pPr>
      <w:r w:rsidRPr="00FC5F08">
        <w:rPr>
          <w:rFonts w:ascii="Times New Roman" w:hAnsi="Times New Roman" w:cs="Times New Roman"/>
          <w:bCs w:val="0"/>
          <w:color w:val="1D1D1B"/>
        </w:rPr>
        <w:t>Податковий кодекс</w:t>
      </w:r>
    </w:p>
    <w:p w:rsidR="00FC5F08" w:rsidRPr="00FC5F08" w:rsidRDefault="00FC5F08" w:rsidP="00FC5F08">
      <w:pPr>
        <w:shd w:val="clear" w:color="auto" w:fill="FFFFFF"/>
        <w:textAlignment w:val="baseline"/>
        <w:rPr>
          <w:bCs/>
          <w:color w:val="1D1D1B"/>
          <w:sz w:val="28"/>
          <w:szCs w:val="28"/>
        </w:rPr>
      </w:pPr>
      <w:r w:rsidRPr="00FC5F08">
        <w:rPr>
          <w:bCs/>
          <w:color w:val="1D1D1B"/>
          <w:sz w:val="28"/>
          <w:szCs w:val="28"/>
        </w:rPr>
        <w:t>Із змінами і доповненнями,</w:t>
      </w:r>
      <w:r w:rsidRPr="00FC5F08">
        <w:rPr>
          <w:bCs/>
          <w:color w:val="1D1D1B"/>
          <w:sz w:val="28"/>
          <w:szCs w:val="28"/>
        </w:rPr>
        <w:br/>
        <w:t>внесеними Законами України</w:t>
      </w:r>
    </w:p>
    <w:p w:rsidR="00FC5F08" w:rsidRPr="00FC5F08" w:rsidRDefault="00FC5F08" w:rsidP="00FC5F08">
      <w:pPr>
        <w:pStyle w:val="rvps7"/>
        <w:shd w:val="clear" w:color="auto" w:fill="FFFFFF"/>
        <w:spacing w:before="0" w:beforeAutospacing="0" w:after="0" w:afterAutospacing="0"/>
        <w:ind w:right="450"/>
        <w:textAlignment w:val="baseline"/>
        <w:rPr>
          <w:i/>
          <w:i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n68"/>
      <w:bookmarkEnd w:id="0"/>
      <w:r w:rsidRPr="00FC5F08">
        <w:rPr>
          <w:rStyle w:val="rvts44"/>
          <w:bCs/>
          <w:color w:val="000000"/>
          <w:sz w:val="28"/>
          <w:szCs w:val="28"/>
          <w:bdr w:val="none" w:sz="0" w:space="0" w:color="auto" w:frame="1"/>
          <w:lang w:val="uk-UA"/>
        </w:rPr>
        <w:t>(Відомості Верховної Ради України (ВВР), 2011, № 13-14, № 15-16, № 17, ст.112)</w:t>
      </w:r>
    </w:p>
    <w:p w:rsidR="00FC5F08" w:rsidRPr="00FC5F08" w:rsidRDefault="00FC5F08" w:rsidP="00FC5F08">
      <w:pPr>
        <w:shd w:val="clear" w:color="auto" w:fill="FFFFFF"/>
        <w:textAlignment w:val="baseline"/>
        <w:outlineLvl w:val="1"/>
        <w:rPr>
          <w:bCs/>
          <w:color w:val="000000"/>
          <w:sz w:val="28"/>
          <w:szCs w:val="28"/>
          <w:lang w:eastAsia="ru-RU"/>
        </w:rPr>
      </w:pPr>
      <w:r w:rsidRPr="00FC5F08">
        <w:rPr>
          <w:bCs/>
          <w:color w:val="000000"/>
          <w:sz w:val="28"/>
          <w:szCs w:val="28"/>
          <w:lang w:eastAsia="ru-RU"/>
        </w:rPr>
        <w:t>РОЗДІЛИ:</w:t>
      </w:r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6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ЗМІНИ ТА ДОПОВНЕННЯ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7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I. ЗАГАЛЬНІ ПОЛОЖЕННЯ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8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II. АДМІНІСТРУВАННЯ ПОДАТКІВ, ЗБОРІВ, ПЛАТЕЖІ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В</w:t>
        </w:r>
        <w:proofErr w:type="gramEnd"/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9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РОЗДІЛ III. ПОДАТОК НА ПРИБУТОК 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П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>ІДПРИЄМСТВ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0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РОЗДІЛ IV. ПОДАТОК 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НА ДОХОДИ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ФІЗИЧНИХ ОСІБ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1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V. ПОДАТОК НА ДОДАНУ ВАРТІСТЬ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2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VI. АКЦИЗНИЙ ПОДАТОК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3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VII. ЗБІ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Р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ЗА ПЕРШУ РЕЄСТРАЦІЮ ТРАНСПОРТНОГО ЗАСОБУ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4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VIII. ЕКОЛОГІЧНИЙ ПОДАТОК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5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IX. РЕНТНА ПЛАТА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6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X. РЕНТНА ПЛАТА ЗА НАФТУ, ПРИРОДНИЙ ГАЗ І ГАЗОВИЙ КОНДЕНСАТ, ЩО ВИДОБУВАЮТЬСЯ В УКРАЇНІ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7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XI. ПЛАТА ЗА КОРИСТУВАННЯ НАДРАМИ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8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XII. ПОДАТОК НА МАЙНО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19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РОЗДІЛ XIII. </w:t>
        </w:r>
        <w:proofErr w:type="spellStart"/>
        <w:r w:rsidRPr="00FC5F08">
          <w:rPr>
            <w:bCs/>
            <w:color w:val="2D5CA6"/>
            <w:sz w:val="28"/>
            <w:szCs w:val="28"/>
            <w:lang w:val="ru-RU" w:eastAsia="ru-RU"/>
          </w:rPr>
          <w:t>Назву</w:t>
        </w:r>
        <w:proofErr w:type="spell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</w:t>
        </w:r>
        <w:proofErr w:type="spellStart"/>
        <w:r w:rsidRPr="00FC5F08">
          <w:rPr>
            <w:bCs/>
            <w:color w:val="2D5CA6"/>
            <w:sz w:val="28"/>
            <w:szCs w:val="28"/>
            <w:lang w:val="ru-RU" w:eastAsia="ru-RU"/>
          </w:rPr>
          <w:t>розділу</w:t>
        </w:r>
        <w:proofErr w:type="spell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</w:t>
        </w:r>
        <w:proofErr w:type="spellStart"/>
        <w:r w:rsidRPr="00FC5F08">
          <w:rPr>
            <w:bCs/>
            <w:color w:val="2D5CA6"/>
            <w:sz w:val="28"/>
            <w:szCs w:val="28"/>
            <w:lang w:val="ru-RU" w:eastAsia="ru-RU"/>
          </w:rPr>
          <w:t>виключено</w:t>
        </w:r>
        <w:proofErr w:type="spellEnd"/>
        <w:r w:rsidRPr="00FC5F08">
          <w:rPr>
            <w:bCs/>
            <w:color w:val="2D5CA6"/>
            <w:sz w:val="28"/>
            <w:szCs w:val="28"/>
            <w:lang w:val="ru-RU" w:eastAsia="ru-RU"/>
          </w:rPr>
          <w:t>. (</w:t>
        </w:r>
        <w:proofErr w:type="spellStart"/>
        <w:r w:rsidRPr="00FC5F08">
          <w:rPr>
            <w:bCs/>
            <w:color w:val="2D5CA6"/>
            <w:sz w:val="28"/>
            <w:szCs w:val="28"/>
            <w:lang w:val="ru-RU" w:eastAsia="ru-RU"/>
          </w:rPr>
          <w:t>згідно</w:t>
        </w:r>
        <w:proofErr w:type="spell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</w:t>
        </w:r>
        <w:proofErr w:type="spellStart"/>
        <w:r w:rsidRPr="00FC5F08">
          <w:rPr>
            <w:bCs/>
            <w:color w:val="2D5CA6"/>
            <w:sz w:val="28"/>
            <w:szCs w:val="28"/>
            <w:lang w:val="ru-RU" w:eastAsia="ru-RU"/>
          </w:rPr>
          <w:t>із</w:t>
        </w:r>
        <w:proofErr w:type="spell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Законом України </w:t>
        </w:r>
        <w:proofErr w:type="spellStart"/>
        <w:r w:rsidRPr="00FC5F08">
          <w:rPr>
            <w:bCs/>
            <w:color w:val="2D5CA6"/>
            <w:sz w:val="28"/>
            <w:szCs w:val="28"/>
            <w:lang w:val="ru-RU" w:eastAsia="ru-RU"/>
          </w:rPr>
          <w:t>від</w:t>
        </w:r>
        <w:proofErr w:type="spell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28.12.2014 р. N 71-VIII)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20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РОЗДІЛ XIV. 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СПЕЦ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>ІАЛЬНІ ПОДАТКОВІ РЕЖИМИ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21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XV. ЗБІ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Р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ЗА КОРИСТУВАННЯ РАДІОЧАСТОТНИМ РЕСУРСОМ УКРАЇНИ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22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XVI. ЗБІ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Р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ЗА СПЕЦІАЛЬНЕ ВИКОРИСТАННЯ ВОДИ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23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XVII. ЗБІ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Р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ЗА СПЕЦІАЛЬНЕ ВИКОРИСТАННЯ ЛІСОВИХ РЕСУРСІВ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24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РОЗДІЛ XVIII. ОСОБЛИВОСТІ ОПОДАТКУВАННЯ ПЛАТНИКІВ ПОДАТКІВ 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В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 УМОВАХ ДІЇ УГОДИ ПРО РОЗПОДІЛ ПРОДУКЦІЇ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25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 xml:space="preserve">РОЗДІЛ XVIII-1. ПОСАДОВІ ОСОБИ КОНТРОЛЮЮЧИХ ОРГАНІВ ТА ЇХ ПРАВОВИЙ І 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СОЦ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>ІАЛЬНИЙ ЗАХИСТ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26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XVIII-2. ПОДАТКОВА МІЛІ</w:t>
        </w:r>
        <w:proofErr w:type="gramStart"/>
        <w:r w:rsidRPr="00FC5F08">
          <w:rPr>
            <w:bCs/>
            <w:color w:val="2D5CA6"/>
            <w:sz w:val="28"/>
            <w:szCs w:val="28"/>
            <w:lang w:val="ru-RU" w:eastAsia="ru-RU"/>
          </w:rPr>
          <w:t>Ц</w:t>
        </w:r>
        <w:proofErr w:type="gramEnd"/>
        <w:r w:rsidRPr="00FC5F08">
          <w:rPr>
            <w:bCs/>
            <w:color w:val="2D5CA6"/>
            <w:sz w:val="28"/>
            <w:szCs w:val="28"/>
            <w:lang w:val="ru-RU" w:eastAsia="ru-RU"/>
          </w:rPr>
          <w:t>ІЯ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27" w:history="1">
        <w:r w:rsidRPr="00FC5F08">
          <w:rPr>
            <w:bCs/>
            <w:color w:val="2D5CA6"/>
            <w:sz w:val="28"/>
            <w:szCs w:val="28"/>
            <w:lang w:val="ru-RU" w:eastAsia="ru-RU"/>
          </w:rPr>
          <w:t>РОЗДІЛ XIX. ПРИКІНЦЕВІ ПОЛОЖЕННЯ</w:t>
        </w:r>
      </w:hyperlink>
    </w:p>
    <w:p w:rsidR="00FC5F08" w:rsidRPr="00FC5F08" w:rsidRDefault="00FC5F08" w:rsidP="00FC5F08">
      <w:pPr>
        <w:numPr>
          <w:ilvl w:val="0"/>
          <w:numId w:val="2"/>
        </w:numPr>
        <w:shd w:val="clear" w:color="auto" w:fill="FFFFFF"/>
        <w:spacing w:line="312" w:lineRule="atLeast"/>
        <w:ind w:left="0"/>
        <w:textAlignment w:val="baseline"/>
        <w:rPr>
          <w:bCs/>
          <w:color w:val="000000"/>
          <w:sz w:val="28"/>
          <w:szCs w:val="28"/>
          <w:lang w:val="ru-RU" w:eastAsia="ru-RU"/>
        </w:rPr>
      </w:pPr>
      <w:hyperlink r:id="rId28" w:history="1">
        <w:r w:rsidRPr="00FC5F08">
          <w:rPr>
            <w:bCs/>
            <w:color w:val="234161"/>
            <w:sz w:val="28"/>
            <w:szCs w:val="28"/>
            <w:lang w:val="ru-RU" w:eastAsia="ru-RU"/>
          </w:rPr>
          <w:t>РОЗДІЛ XX. ПЕРЕХІДНІ ПОЛОЖЕННЯ</w:t>
        </w:r>
      </w:hyperlink>
    </w:p>
    <w:p w:rsidR="00FC5F08" w:rsidRPr="00FC5F08" w:rsidRDefault="00FC5F08">
      <w:pPr>
        <w:rPr>
          <w:sz w:val="28"/>
          <w:szCs w:val="28"/>
        </w:rPr>
      </w:pPr>
    </w:p>
    <w:sectPr w:rsidR="00FC5F08" w:rsidRPr="00FC5F08" w:rsidSect="00654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7BB"/>
    <w:multiLevelType w:val="multilevel"/>
    <w:tmpl w:val="2448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6667B"/>
    <w:multiLevelType w:val="multilevel"/>
    <w:tmpl w:val="466E5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F08"/>
    <w:rsid w:val="006546AB"/>
    <w:rsid w:val="00FC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FC5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C5F08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5F08"/>
    <w:pPr>
      <w:spacing w:before="100" w:beforeAutospacing="1" w:after="100" w:afterAutospacing="1"/>
    </w:pPr>
  </w:style>
  <w:style w:type="table" w:styleId="a4">
    <w:name w:val="Table Grid"/>
    <w:basedOn w:val="a1"/>
    <w:rsid w:val="00FC5F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C5F0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C5F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5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customStyle="1" w:styleId="rvps7">
    <w:name w:val="rvps7"/>
    <w:basedOn w:val="a"/>
    <w:rsid w:val="00FC5F08"/>
    <w:pPr>
      <w:spacing w:before="100" w:beforeAutospacing="1" w:after="100" w:afterAutospacing="1"/>
    </w:pPr>
    <w:rPr>
      <w:lang w:val="ru-RU" w:eastAsia="ru-RU"/>
    </w:rPr>
  </w:style>
  <w:style w:type="character" w:customStyle="1" w:styleId="rvts44">
    <w:name w:val="rvts44"/>
    <w:basedOn w:val="a0"/>
    <w:rsid w:val="00FC5F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389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010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x.gov.ua/nk/spisok2/" TargetMode="External"/><Relationship Id="rId13" Type="http://schemas.openxmlformats.org/officeDocument/2006/relationships/hyperlink" Target="https://tax.gov.ua/nk/rozdil-vii--zbir-za-pershu-ree/" TargetMode="External"/><Relationship Id="rId18" Type="http://schemas.openxmlformats.org/officeDocument/2006/relationships/hyperlink" Target="https://tax.gov.ua/nk/rozdil-xii--mistsevi-podatki-i/" TargetMode="External"/><Relationship Id="rId26" Type="http://schemas.openxmlformats.org/officeDocument/2006/relationships/hyperlink" Target="https://tax.gov.ua/nk/rozdil-xviii2_militsi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ax.gov.ua/nk/rozdil-xv--zbir-za-koristuva/" TargetMode="External"/><Relationship Id="rId7" Type="http://schemas.openxmlformats.org/officeDocument/2006/relationships/hyperlink" Target="https://tax.gov.ua/nk/spisok1/" TargetMode="External"/><Relationship Id="rId12" Type="http://schemas.openxmlformats.org/officeDocument/2006/relationships/hyperlink" Target="https://tax.gov.ua/nk/rozdil-vi--aktsizniy-podatok-/" TargetMode="External"/><Relationship Id="rId17" Type="http://schemas.openxmlformats.org/officeDocument/2006/relationships/hyperlink" Target="https://tax.gov.ua/nk/rozdil-xi--plata-za-koristuv/" TargetMode="External"/><Relationship Id="rId25" Type="http://schemas.openxmlformats.org/officeDocument/2006/relationships/hyperlink" Target="https://tax.gov.ua/nk/rozdil-xiii_posadovi-osob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ax.gov.ua/nk/rozdil-x--rentna-plata-za-na/" TargetMode="External"/><Relationship Id="rId20" Type="http://schemas.openxmlformats.org/officeDocument/2006/relationships/hyperlink" Target="https://tax.gov.ua/nk/rozdil-xiv--spetsialni-podat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ax.gov.ua/nk/zminu" TargetMode="External"/><Relationship Id="rId11" Type="http://schemas.openxmlformats.org/officeDocument/2006/relationships/hyperlink" Target="https://tax.gov.ua/nk/rozdil-v--podatok-na-dodanu-vartist/" TargetMode="External"/><Relationship Id="rId24" Type="http://schemas.openxmlformats.org/officeDocument/2006/relationships/hyperlink" Target="https://tax.gov.ua/nk/rozdil-xviii--osoblivosti-opo/" TargetMode="External"/><Relationship Id="rId5" Type="http://schemas.openxmlformats.org/officeDocument/2006/relationships/hyperlink" Target="https://tax.gov.ua/" TargetMode="External"/><Relationship Id="rId15" Type="http://schemas.openxmlformats.org/officeDocument/2006/relationships/hyperlink" Target="https://tax.gov.ua/nk/rozdil-ix--rentna-plata-za-tr/" TargetMode="External"/><Relationship Id="rId23" Type="http://schemas.openxmlformats.org/officeDocument/2006/relationships/hyperlink" Target="https://tax.gov.ua/nk/rozdil-xvii--zbir-za-spetsial/" TargetMode="External"/><Relationship Id="rId28" Type="http://schemas.openxmlformats.org/officeDocument/2006/relationships/hyperlink" Target="https://tax.gov.ua/nk/rozdil-xx--perehidni-polojen/" TargetMode="External"/><Relationship Id="rId10" Type="http://schemas.openxmlformats.org/officeDocument/2006/relationships/hyperlink" Target="https://tax.gov.ua/nk/rozdil-iv--podatok-na-dohodi-fizichnih-o/" TargetMode="External"/><Relationship Id="rId19" Type="http://schemas.openxmlformats.org/officeDocument/2006/relationships/hyperlink" Target="https://tax.gov.ua/nk/rozdil-xiii--plata-za-zemlyu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x.gov.ua/nk/spisok3/" TargetMode="External"/><Relationship Id="rId14" Type="http://schemas.openxmlformats.org/officeDocument/2006/relationships/hyperlink" Target="https://tax.gov.ua/nk/rozdil-viii--ekologichniy-poda/" TargetMode="External"/><Relationship Id="rId22" Type="http://schemas.openxmlformats.org/officeDocument/2006/relationships/hyperlink" Target="https://tax.gov.ua/nk/rozdil-xvi--zbir-za-spetsialn/" TargetMode="External"/><Relationship Id="rId27" Type="http://schemas.openxmlformats.org/officeDocument/2006/relationships/hyperlink" Target="https://tax.gov.ua/nk/rozdil-xix--prikintsevi-poloj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2024-02-04T11:40:00Z</dcterms:created>
  <dcterms:modified xsi:type="dcterms:W3CDTF">2024-02-04T11:45:00Z</dcterms:modified>
</cp:coreProperties>
</file>